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before="0" w:lineRule="auto"/>
        <w:ind w:left="0" w:firstLine="0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How to Teach Online: Week 2 Students as Creators</w:t>
      </w:r>
    </w:p>
    <w:p w:rsidR="00000000" w:rsidDel="00000000" w:rsidP="00000000" w:rsidRDefault="00000000" w:rsidRPr="00000000" w14:paraId="00000002">
      <w:pPr>
        <w:widowControl w:val="0"/>
        <w:spacing w:before="0" w:lineRule="auto"/>
        <w:ind w:left="0" w:firstLine="0"/>
        <w:rPr>
          <w:i w:val="1"/>
          <w:color w:val="980000"/>
        </w:rPr>
      </w:pPr>
      <w:r w:rsidDel="00000000" w:rsidR="00000000" w:rsidRPr="00000000">
        <w:rPr>
          <w:i w:val="1"/>
          <w:color w:val="980000"/>
          <w:rtl w:val="0"/>
        </w:rPr>
        <w:t xml:space="preserve">Here are some resources we’ve been inspired by. Make a copy of this document and add or delete as you wish.</w:t>
      </w:r>
    </w:p>
    <w:p w:rsidR="00000000" w:rsidDel="00000000" w:rsidP="00000000" w:rsidRDefault="00000000" w:rsidRPr="00000000" w14:paraId="00000003">
      <w:pPr>
        <w:widowControl w:val="0"/>
        <w:spacing w:before="0" w:lineRule="auto"/>
        <w:ind w:left="0" w:firstLine="0"/>
        <w:rPr>
          <w:i w:val="1"/>
          <w:color w:val="98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4515"/>
        <w:gridCol w:w="8010"/>
        <w:tblGridChange w:id="0">
          <w:tblGrid>
            <w:gridCol w:w="1350"/>
            <w:gridCol w:w="4515"/>
            <w:gridCol w:w="8010"/>
          </w:tblGrid>
        </w:tblGridChange>
      </w:tblGrid>
      <w:tr>
        <w:trPr>
          <w:trHeight w:val="4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a343a"/>
                <w:sz w:val="26"/>
                <w:szCs w:val="26"/>
                <w:rtl w:val="0"/>
              </w:rPr>
              <w:t xml:space="preserve">Suitable for Children/Teenagers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a343a"/>
                <w:sz w:val="26"/>
                <w:szCs w:val="26"/>
                <w:rtl w:val="0"/>
              </w:rPr>
              <w:t xml:space="preserve">Article and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98000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a343a"/>
                <w:sz w:val="26"/>
                <w:szCs w:val="26"/>
                <w:rtl w:val="0"/>
              </w:rPr>
              <w:t xml:space="preserve">FutureLearn says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80000"/>
                <w:sz w:val="26"/>
                <w:szCs w:val="26"/>
                <w:rtl w:val="0"/>
              </w:rPr>
              <w:t xml:space="preserve">(you can replace this with your own notes)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a343a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a343a"/>
                <w:sz w:val="26"/>
                <w:szCs w:val="26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26"/>
                  <w:szCs w:val="26"/>
                  <w:u w:val="single"/>
                  <w:rtl w:val="0"/>
                </w:rPr>
                <w:t xml:space="preserve">Melanie Zolnier, edtechawesomeness: Students as creators in a digital space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3a343a"/>
              </w:rPr>
            </w:pPr>
            <w:r w:rsidDel="00000000" w:rsidR="00000000" w:rsidRPr="00000000">
              <w:rPr>
                <w:rFonts w:ascii="Arial" w:cs="Arial" w:eastAsia="Arial" w:hAnsi="Arial"/>
                <w:color w:val="3a343a"/>
                <w:rtl w:val="0"/>
              </w:rPr>
              <w:t xml:space="preserve">Technology-based ideas to foster creativity.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a343a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3a343a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6"/>
                  <w:szCs w:val="26"/>
                  <w:u w:val="single"/>
                  <w:rtl w:val="0"/>
                </w:rPr>
                <w:t xml:space="preserve">Rick Wormeli:Moving Students from Passive Consumers to Active Creators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3a343a"/>
              </w:rPr>
            </w:pPr>
            <w:r w:rsidDel="00000000" w:rsidR="00000000" w:rsidRPr="00000000">
              <w:rPr>
                <w:rFonts w:ascii="Arial" w:cs="Arial" w:eastAsia="Arial" w:hAnsi="Arial"/>
                <w:color w:val="3a343a"/>
                <w:rtl w:val="0"/>
              </w:rPr>
              <w:t xml:space="preserve">Some innovative and original open-ended ideas which offer students the opportunity to tackle the topics in a variety of ways. Scroll to: ‘successful learning, teaching by phenomenon’</w:t>
            </w:r>
          </w:p>
          <w:p w:rsidR="00000000" w:rsidDel="00000000" w:rsidP="00000000" w:rsidRDefault="00000000" w:rsidRPr="00000000" w14:paraId="00000010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3a343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a343a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3a343a"/>
                <w:sz w:val="26"/>
                <w:szCs w:val="2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6"/>
                  <w:szCs w:val="26"/>
                  <w:u w:val="single"/>
                  <w:rtl w:val="0"/>
                </w:rPr>
                <w:t xml:space="preserve">Learning Reviews: Project Based Learning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3a343a"/>
              </w:rPr>
            </w:pPr>
            <w:r w:rsidDel="00000000" w:rsidR="00000000" w:rsidRPr="00000000">
              <w:rPr>
                <w:rFonts w:ascii="Arial" w:cs="Arial" w:eastAsia="Arial" w:hAnsi="Arial"/>
                <w:color w:val="3a343a"/>
                <w:rtl w:val="0"/>
              </w:rPr>
              <w:t xml:space="preserve">Project Based Learning collection of a host of websites, easily searchable, organised by topics. Many are conceptualised for the traditional class, but can work asynchronously online.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a343a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6"/>
                  <w:szCs w:val="26"/>
                  <w:u w:val="single"/>
                  <w:rtl w:val="0"/>
                </w:rPr>
                <w:t xml:space="preserve">Anissa Lokey-Vega Kimberly Bondeson Project Based Online Learning: Meeting the Challenge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3a343a"/>
              </w:rPr>
            </w:pPr>
            <w:r w:rsidDel="00000000" w:rsidR="00000000" w:rsidRPr="00000000">
              <w:rPr>
                <w:rFonts w:ascii="Arial" w:cs="Arial" w:eastAsia="Arial" w:hAnsi="Arial"/>
                <w:color w:val="3a343a"/>
                <w:rtl w:val="0"/>
              </w:rPr>
              <w:t xml:space="preserve">An overview of getting started with online Project Based learning.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0" w:line="240" w:lineRule="auto"/>
              <w:rPr>
                <w:rFonts w:ascii="Arial" w:cs="Arial" w:eastAsia="Arial" w:hAnsi="Arial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6"/>
                <w:szCs w:val="26"/>
                <w:rtl w:val="0"/>
              </w:rPr>
              <w:t xml:space="preserve">Add your own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0" w:line="240" w:lineRule="auto"/>
              <w:rPr>
                <w:rFonts w:ascii="Arial" w:cs="Arial" w:eastAsia="Arial" w:hAnsi="Arial"/>
                <w:i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a343a"/>
                <w:sz w:val="26"/>
                <w:szCs w:val="26"/>
                <w:rtl w:val="0"/>
              </w:rPr>
              <w:t xml:space="preserve">Add your own resources</w:t>
            </w:r>
          </w:p>
        </w:tc>
      </w:tr>
      <w:tr>
        <w:trPr>
          <w:trHeight w:val="4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before="0" w:lineRule="auto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0" w:lineRule="auto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0" w:lineRule="auto"/>
        <w:rPr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4530"/>
        <w:gridCol w:w="8130"/>
        <w:tblGridChange w:id="0">
          <w:tblGrid>
            <w:gridCol w:w="1125"/>
            <w:gridCol w:w="4530"/>
            <w:gridCol w:w="8130"/>
          </w:tblGrid>
        </w:tblGridChange>
      </w:tblGrid>
      <w:tr>
        <w:trPr>
          <w:trHeight w:val="4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a343a"/>
                <w:sz w:val="26"/>
                <w:szCs w:val="26"/>
                <w:rtl w:val="0"/>
              </w:rPr>
              <w:t xml:space="preserve">Suitable for Young Adults/Adults/Higher Education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a343a"/>
                <w:sz w:val="26"/>
                <w:szCs w:val="26"/>
                <w:rtl w:val="0"/>
              </w:rPr>
              <w:t xml:space="preserve">Article and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a343a"/>
                <w:sz w:val="26"/>
                <w:szCs w:val="26"/>
                <w:rtl w:val="0"/>
              </w:rPr>
              <w:t xml:space="preserve">FutureLearn says: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a343a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3a343a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6"/>
                  <w:szCs w:val="26"/>
                  <w:u w:val="single"/>
                  <w:rtl w:val="0"/>
                </w:rPr>
                <w:t xml:space="preserve"> Monica Burns: EdTech Trend: Turning Students into Content Creators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3a343a"/>
              </w:rPr>
            </w:pPr>
            <w:r w:rsidDel="00000000" w:rsidR="00000000" w:rsidRPr="00000000">
              <w:rPr>
                <w:rFonts w:ascii="Arial" w:cs="Arial" w:eastAsia="Arial" w:hAnsi="Arial"/>
                <w:color w:val="3a343a"/>
                <w:rtl w:val="0"/>
              </w:rPr>
              <w:t xml:space="preserve">Short article with some simple ideas for content your students could create if they have access to tech such as smartphones.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a343a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3a343a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6"/>
                  <w:szCs w:val="26"/>
                  <w:u w:val="single"/>
                  <w:rtl w:val="0"/>
                </w:rPr>
                <w:t xml:space="preserve">Richard Frost, British Council: A Task-based approach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3a343a"/>
              </w:rPr>
            </w:pPr>
            <w:r w:rsidDel="00000000" w:rsidR="00000000" w:rsidRPr="00000000">
              <w:rPr>
                <w:rFonts w:ascii="Arial" w:cs="Arial" w:eastAsia="Arial" w:hAnsi="Arial"/>
                <w:color w:val="3a343a"/>
                <w:rtl w:val="0"/>
              </w:rPr>
              <w:t xml:space="preserve">Although written with English language teaching in mind, this resource clearly outlines the different stages students go through to complete a task. It is written for face-to-face but all is applicable to online and asynchronous, group or independent learning.</w:t>
            </w:r>
          </w:p>
          <w:p w:rsidR="00000000" w:rsidDel="00000000" w:rsidP="00000000" w:rsidRDefault="00000000" w:rsidRPr="00000000" w14:paraId="0000002C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3a343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before="0" w:line="240" w:lineRule="auto"/>
              <w:rPr>
                <w:rFonts w:ascii="Arial" w:cs="Arial" w:eastAsia="Arial" w:hAnsi="Arial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6"/>
                <w:szCs w:val="26"/>
                <w:rtl w:val="0"/>
              </w:rPr>
              <w:t xml:space="preserve">Add your own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0" w:line="240" w:lineRule="auto"/>
              <w:rPr>
                <w:rFonts w:ascii="Arial" w:cs="Arial" w:eastAsia="Arial" w:hAnsi="Arial"/>
                <w:i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a343a"/>
                <w:sz w:val="26"/>
                <w:szCs w:val="26"/>
                <w:rtl w:val="0"/>
              </w:rPr>
              <w:t xml:space="preserve">Add your own resources</w:t>
            </w:r>
          </w:p>
        </w:tc>
      </w:tr>
      <w:tr>
        <w:trPr>
          <w:trHeight w:val="4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before="0" w:line="240" w:lineRule="auto"/>
              <w:ind w:left="720" w:firstLine="0"/>
              <w:rPr>
                <w:rFonts w:ascii="Arial" w:cs="Arial" w:eastAsia="Arial" w:hAnsi="Arial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spacing w:before="0" w:lineRule="auto"/>
        <w:ind w:left="0" w:firstLine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0" w:lineRule="auto"/>
        <w:ind w:left="0" w:firstLine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0" w:lineRule="auto"/>
        <w:ind w:left="0" w:firstLine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0" w:lineRule="auto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0" w:lineRule="auto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0" w:lineRule="auto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0" w:lineRule="auto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0" w:lineRule="auto"/>
        <w:rPr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4515"/>
        <w:gridCol w:w="8145"/>
        <w:tblGridChange w:id="0">
          <w:tblGrid>
            <w:gridCol w:w="1125"/>
            <w:gridCol w:w="4515"/>
            <w:gridCol w:w="8145"/>
          </w:tblGrid>
        </w:tblGridChange>
      </w:tblGrid>
      <w:tr>
        <w:trPr>
          <w:trHeight w:val="4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a343a"/>
                <w:sz w:val="26"/>
                <w:szCs w:val="26"/>
                <w:rtl w:val="0"/>
              </w:rPr>
              <w:t xml:space="preserve">Suitable for all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a343a"/>
                <w:sz w:val="26"/>
                <w:szCs w:val="26"/>
                <w:rtl w:val="0"/>
              </w:rPr>
              <w:t xml:space="preserve">Article and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a343a"/>
                <w:sz w:val="26"/>
                <w:szCs w:val="26"/>
                <w:rtl w:val="0"/>
              </w:rPr>
              <w:t xml:space="preserve">FutureLearn says: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80000"/>
                <w:sz w:val="26"/>
                <w:szCs w:val="26"/>
                <w:rtl w:val="0"/>
              </w:rPr>
              <w:t xml:space="preserve">(you can replace this with your own notes)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a343a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3a343a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6"/>
                  <w:szCs w:val="26"/>
                  <w:u w:val="single"/>
                  <w:rtl w:val="0"/>
                </w:rPr>
                <w:t xml:space="preserve">Jisc resource: Turning students from consumers to creators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3a343a"/>
              </w:rPr>
            </w:pPr>
            <w:r w:rsidDel="00000000" w:rsidR="00000000" w:rsidRPr="00000000">
              <w:rPr>
                <w:rFonts w:ascii="Arial" w:cs="Arial" w:eastAsia="Arial" w:hAnsi="Arial"/>
                <w:color w:val="3a343a"/>
                <w:rtl w:val="0"/>
              </w:rPr>
              <w:t xml:space="preserve">A summary of UK Higher Education approaches and strategies to help develop students digital skills and becoming more active learners.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before="0" w:line="240" w:lineRule="auto"/>
              <w:rPr>
                <w:rFonts w:ascii="Arial" w:cs="Arial" w:eastAsia="Arial" w:hAnsi="Arial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6"/>
                <w:szCs w:val="26"/>
                <w:rtl w:val="0"/>
              </w:rPr>
              <w:t xml:space="preserve">Add your own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before="0" w:line="240" w:lineRule="auto"/>
              <w:rPr>
                <w:rFonts w:ascii="Arial" w:cs="Arial" w:eastAsia="Arial" w:hAnsi="Arial"/>
                <w:i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a343a"/>
                <w:sz w:val="26"/>
                <w:szCs w:val="26"/>
                <w:rtl w:val="0"/>
              </w:rPr>
              <w:t xml:space="preserve">Add your own resources</w:t>
            </w:r>
          </w:p>
        </w:tc>
      </w:tr>
      <w:tr>
        <w:trPr>
          <w:trHeight w:val="4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before="0" w:line="240" w:lineRule="auto"/>
              <w:ind w:left="720" w:firstLine="0"/>
              <w:rPr>
                <w:rFonts w:ascii="Arial" w:cs="Arial" w:eastAsia="Arial" w:hAnsi="Arial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before="0" w:line="240" w:lineRule="auto"/>
              <w:rPr>
                <w:rFonts w:ascii="Arial" w:cs="Arial" w:eastAsia="Arial" w:hAnsi="Arial"/>
                <w:b w:val="1"/>
                <w:color w:val="3a343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before="0" w:lineRule="auto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0" w:lineRule="auto"/>
        <w:ind w:left="0" w:firstLine="0"/>
        <w:rPr>
          <w:color w:val="434343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footerReference r:id="rId15" w:type="first"/>
      <w:pgSz w:h="12240" w:w="15840"/>
      <w:pgMar w:bottom="1077.1653543307089" w:top="1077.1653543307089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180975</wp:posOffset>
          </wp:positionV>
          <wp:extent cx="7800975" cy="1065078"/>
          <wp:effectExtent b="0" l="0" r="0" t="0"/>
          <wp:wrapSquare wrapText="bothSides" distB="0" distT="0" distL="0" distR="0"/>
          <wp:docPr descr="footer graphic" id="3" name="image2.png"/>
          <a:graphic>
            <a:graphicData uri="http://schemas.openxmlformats.org/drawingml/2006/picture">
              <pic:pic>
                <pic:nvPicPr>
                  <pic:cNvPr descr="foot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106507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857250</wp:posOffset>
          </wp:positionV>
          <wp:extent cx="10063163" cy="400050"/>
          <wp:effectExtent b="0" l="0" r="0" t="0"/>
          <wp:wrapSquare wrapText="bothSides" distB="0" distT="0" distL="0" distR="0"/>
          <wp:docPr descr="footer graphic" id="1" name="image1.jpg"/>
          <a:graphic>
            <a:graphicData uri="http://schemas.openxmlformats.org/drawingml/2006/picture">
              <pic:pic>
                <pic:nvPicPr>
                  <pic:cNvPr descr="footer graphic" id="0" name="image1.jpg"/>
                  <pic:cNvPicPr preferRelativeResize="0"/>
                </pic:nvPicPr>
                <pic:blipFill>
                  <a:blip r:embed="rId1"/>
                  <a:srcRect b="13219" l="0" r="0" t="76549"/>
                  <a:stretch>
                    <a:fillRect/>
                  </a:stretch>
                </pic:blipFill>
                <pic:spPr>
                  <a:xfrm>
                    <a:off x="0" y="0"/>
                    <a:ext cx="10063163" cy="4000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Style w:val="Heading3"/>
      <w:widowControl w:val="0"/>
      <w:shd w:fill="ffffff" w:val="clear"/>
      <w:spacing w:after="80" w:before="280" w:line="360" w:lineRule="auto"/>
      <w:rPr/>
    </w:pPr>
    <w:bookmarkStart w:colFirst="0" w:colLast="0" w:name="_hzskxwi7uw6l" w:id="0"/>
    <w:bookmarkEnd w:id="0"/>
    <w:r w:rsidDel="00000000" w:rsidR="00000000" w:rsidRPr="00000000">
      <w:rPr>
        <w:rFonts w:ascii="Arial" w:cs="Arial" w:eastAsia="Arial" w:hAnsi="Arial"/>
        <w:color w:val="666666"/>
        <w:sz w:val="36"/>
        <w:szCs w:val="36"/>
      </w:rPr>
      <w:drawing>
        <wp:inline distB="228600" distT="228600" distL="228600" distR="228600">
          <wp:extent cx="760848" cy="449263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47928" t="0"/>
                  <a:stretch>
                    <a:fillRect/>
                  </a:stretch>
                </pic:blipFill>
                <pic:spPr>
                  <a:xfrm>
                    <a:off x="0" y="0"/>
                    <a:ext cx="760848" cy="449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"/>
      </w:rPr>
    </w:rPrDefault>
    <w:pPrDefault>
      <w:pPr>
        <w:spacing w:before="200" w:line="335.9999999999999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400" w:line="240" w:lineRule="auto"/>
    </w:pPr>
    <w:rPr>
      <w:color w:val="e01b84"/>
      <w:sz w:val="40"/>
      <w:szCs w:val="40"/>
    </w:rPr>
  </w:style>
  <w:style w:type="paragraph" w:styleId="Heading2">
    <w:name w:val="heading 2"/>
    <w:basedOn w:val="Normal"/>
    <w:next w:val="Normal"/>
    <w:pPr>
      <w:spacing w:before="320" w:line="240" w:lineRule="auto"/>
      <w:ind w:left="-15" w:firstLine="0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/>
    <w:rPr>
      <w:b w:val="1"/>
      <w:color w:val="283592"/>
      <w:sz w:val="24"/>
      <w:szCs w:val="24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0" w:before="400" w:line="240" w:lineRule="auto"/>
      <w:ind w:left="-15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/>
    <w:rPr>
      <w:color w:val="e01b8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eachingenglish.org.uk/article/a-task-based-approach" TargetMode="External"/><Relationship Id="rId10" Type="http://schemas.openxmlformats.org/officeDocument/2006/relationships/hyperlink" Target="https://www.channelone.com/blog_post/edtech-trend-turning-students-into-content-creators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jisc.ac.uk/news/turning-students-from-consumers-to-creators-28-feb-201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blworks.org/blog/project-based-online-learning-meeting-challenge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edtechawesomeness.com/2018/01/04/students-as-creators-in-a-digital-space/" TargetMode="External"/><Relationship Id="rId7" Type="http://schemas.openxmlformats.org/officeDocument/2006/relationships/hyperlink" Target="https://www.amle.org/BrowsebyTopic/WhatsNew/WNDet/TabId/270/ArtMID/888/ArticleID/526/Moving-Students-from-Passive-Consumers-to-Active-Creators.aspx" TargetMode="External"/><Relationship Id="rId8" Type="http://schemas.openxmlformats.org/officeDocument/2006/relationships/hyperlink" Target="https://www.learningreviews.com/pbl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